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 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8A3C38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8A3C38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8045" w:type="dxa"/>
          </w:tcPr>
          <w:p w:rsidR="00FA18F7" w:rsidRPr="00FA18F7" w:rsidRDefault="004F1CAA" w:rsidP="00A65F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F1CAA">
              <w:rPr>
                <w:sz w:val="24"/>
                <w:szCs w:val="24"/>
                <w:u w:val="single"/>
              </w:rPr>
              <w:t>_</w:t>
            </w:r>
            <w:r w:rsidR="008A3C38">
              <w:rPr>
                <w:sz w:val="24"/>
                <w:szCs w:val="24"/>
                <w:u w:val="single"/>
              </w:rPr>
              <w:t>22</w:t>
            </w:r>
            <w:r w:rsidRPr="004F1CAA">
              <w:rPr>
                <w:sz w:val="24"/>
                <w:szCs w:val="24"/>
                <w:u w:val="single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4D234A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Куть-Ях</w:t>
      </w:r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муниципального образования сельское поселение Куть-Ях на 2019-2025 годы»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="00A55571">
        <w:rPr>
          <w:sz w:val="26"/>
          <w:szCs w:val="26"/>
        </w:rPr>
        <w:t>, от 24.01.2022 № 7</w:t>
      </w:r>
      <w:r w:rsidR="00E14158">
        <w:rPr>
          <w:sz w:val="26"/>
          <w:szCs w:val="26"/>
        </w:rPr>
        <w:t>, от 28.03.2022 № 48</w:t>
      </w:r>
      <w:r w:rsidR="00851C2F">
        <w:rPr>
          <w:sz w:val="26"/>
          <w:szCs w:val="26"/>
        </w:rPr>
        <w:t>, от 18.07.2022 № 118</w:t>
      </w:r>
      <w:r w:rsidR="00A65FCF">
        <w:rPr>
          <w:sz w:val="26"/>
          <w:szCs w:val="26"/>
        </w:rPr>
        <w:t>, от 28.11.2022 № 204</w:t>
      </w:r>
      <w:r w:rsidR="00C637A4">
        <w:rPr>
          <w:sz w:val="26"/>
          <w:szCs w:val="26"/>
        </w:rPr>
        <w:t>, от 29.12.2022 № 222</w:t>
      </w:r>
      <w:r w:rsidRPr="00FA18F7">
        <w:rPr>
          <w:sz w:val="26"/>
          <w:szCs w:val="26"/>
        </w:rPr>
        <w:t>)</w:t>
      </w:r>
    </w:p>
    <w:p w:rsid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Pr="00FA18F7" w:rsidRDefault="00E6604E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Default="00DE45B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E45BE">
        <w:rPr>
          <w:sz w:val="26"/>
          <w:szCs w:val="26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Куть-Ях» (в ред. от 20.12.2021 № 213)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</w:t>
      </w:r>
      <w:proofErr w:type="gramEnd"/>
      <w:r w:rsidR="00FA18F7" w:rsidRPr="00FA18F7">
        <w:rPr>
          <w:sz w:val="26"/>
          <w:szCs w:val="26"/>
        </w:rPr>
        <w:t xml:space="preserve"> Куть-Ях по организации дорожной деятельности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E6604E" w:rsidRDefault="00E6604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18F7" w:rsidRPr="00E6604E" w:rsidRDefault="00FA18F7" w:rsidP="008A3C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8F7">
        <w:rPr>
          <w:sz w:val="26"/>
          <w:szCs w:val="24"/>
        </w:rPr>
        <w:t xml:space="preserve">1. 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Куть-Ях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сельское поселение Куть-Ях на 2019-2025 годы» </w:t>
      </w:r>
      <w:r w:rsidR="00A65FCF" w:rsidRPr="00FA18F7">
        <w:rPr>
          <w:sz w:val="26"/>
          <w:szCs w:val="26"/>
        </w:rPr>
        <w:t>(в ред. от 27.12.2019 № 234, от 30.03.2020 № 35, от 23.12.2020 № 158, от 25.03.2021 № 38</w:t>
      </w:r>
      <w:r w:rsidR="00A65FCF">
        <w:rPr>
          <w:sz w:val="26"/>
          <w:szCs w:val="26"/>
        </w:rPr>
        <w:t>, от 15.07.2021 №121, от 24.01.2022 № 7, от 28.03.2022 № 48, от 18</w:t>
      </w:r>
      <w:r w:rsidR="00C637A4">
        <w:rPr>
          <w:sz w:val="26"/>
          <w:szCs w:val="26"/>
        </w:rPr>
        <w:t xml:space="preserve">.07.2022 № 118, от 28.11.2022 № </w:t>
      </w:r>
      <w:r w:rsidR="00A65FCF">
        <w:rPr>
          <w:sz w:val="26"/>
          <w:szCs w:val="26"/>
        </w:rPr>
        <w:t>204</w:t>
      </w:r>
      <w:r w:rsidR="00C637A4">
        <w:rPr>
          <w:sz w:val="26"/>
          <w:szCs w:val="26"/>
        </w:rPr>
        <w:t>, от 29.12.2022</w:t>
      </w:r>
      <w:r w:rsidR="00350029">
        <w:rPr>
          <w:sz w:val="26"/>
          <w:szCs w:val="26"/>
        </w:rPr>
        <w:t xml:space="preserve"> №222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</w:t>
      </w:r>
      <w:r w:rsidRPr="00FA18F7">
        <w:rPr>
          <w:sz w:val="26"/>
          <w:szCs w:val="26"/>
        </w:rPr>
        <w:lastRenderedPageBreak/>
        <w:t xml:space="preserve">приложение к Постановлению, </w:t>
      </w:r>
      <w:r w:rsidRPr="00FA18F7">
        <w:rPr>
          <w:rFonts w:eastAsia="Calibri"/>
          <w:sz w:val="26"/>
          <w:szCs w:val="26"/>
          <w:lang w:eastAsia="en-US"/>
        </w:rPr>
        <w:t>согласно приложению к настоящему постановлению.</w:t>
      </w:r>
    </w:p>
    <w:p w:rsidR="00FA18F7" w:rsidRPr="00A5708C" w:rsidRDefault="00FA18F7" w:rsidP="008A3C38">
      <w:pPr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57631B" w:rsidRPr="0057631B" w:rsidRDefault="0057631B" w:rsidP="008A3C38">
      <w:pPr>
        <w:ind w:firstLine="708"/>
        <w:jc w:val="both"/>
        <w:rPr>
          <w:sz w:val="26"/>
          <w:szCs w:val="26"/>
        </w:rPr>
      </w:pPr>
      <w:r w:rsidRPr="0057631B">
        <w:rPr>
          <w:sz w:val="26"/>
          <w:szCs w:val="26"/>
        </w:rPr>
        <w:t>3.Настоящее постановление вступает в силу после официального опубликования (обнародования).</w:t>
      </w:r>
    </w:p>
    <w:p w:rsidR="0057631B" w:rsidRPr="0057631B" w:rsidRDefault="0057631B" w:rsidP="008A3C38">
      <w:pPr>
        <w:ind w:firstLine="708"/>
        <w:jc w:val="both"/>
        <w:rPr>
          <w:sz w:val="26"/>
          <w:szCs w:val="26"/>
        </w:rPr>
      </w:pPr>
      <w:r w:rsidRPr="0057631B">
        <w:rPr>
          <w:spacing w:val="-2"/>
          <w:sz w:val="26"/>
          <w:szCs w:val="26"/>
        </w:rPr>
        <w:t xml:space="preserve">4. </w:t>
      </w:r>
      <w:r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8A3C3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E6604E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 w:rsidR="008A3C38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8A3C38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8A3C38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8A3C38">
              <w:rPr>
                <w:rFonts w:eastAsia="Courier New"/>
                <w:bCs/>
                <w:iCs/>
                <w:sz w:val="24"/>
                <w:szCs w:val="24"/>
              </w:rPr>
              <w:t>13.03.2023</w:t>
            </w:r>
            <w:r w:rsidR="00607E36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607E36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8A3C38">
              <w:rPr>
                <w:rFonts w:eastAsia="Courier New"/>
                <w:bCs/>
                <w:iCs/>
                <w:sz w:val="24"/>
                <w:szCs w:val="24"/>
              </w:rPr>
              <w:t>22</w:t>
            </w:r>
            <w:bookmarkStart w:id="0" w:name="_GoBack"/>
            <w:bookmarkEnd w:id="0"/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муниципальной программы сельского поселения Куть-Ях </w:t>
      </w: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368"/>
        <w:gridCol w:w="482"/>
        <w:gridCol w:w="964"/>
        <w:gridCol w:w="142"/>
        <w:gridCol w:w="737"/>
        <w:gridCol w:w="851"/>
        <w:gridCol w:w="793"/>
        <w:gridCol w:w="341"/>
        <w:gridCol w:w="538"/>
        <w:gridCol w:w="879"/>
        <w:gridCol w:w="1135"/>
        <w:gridCol w:w="1446"/>
      </w:tblGrid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A00E0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сельское поселение Куть-Ях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2F1530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Куть-Ях»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812D8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B5208" w:rsidP="001866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24 587,10953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E3352" w:rsidRDefault="00475A2F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08" w:rsidRPr="001C0A56" w:rsidRDefault="004B5208" w:rsidP="004B5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2 270,48013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lastRenderedPageBreak/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B028A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75A2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B5208" w:rsidP="001866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20 413,08831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75A2F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1 931,10438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B5208" w:rsidP="00BB0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2 270,48013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2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975,0000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D239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6" w:type="pct"/>
        <w:tblLayout w:type="fixed"/>
        <w:tblLook w:val="04A0" w:firstRow="1" w:lastRow="0" w:firstColumn="1" w:lastColumn="0" w:noHBand="0" w:noVBand="1"/>
      </w:tblPr>
      <w:tblGrid>
        <w:gridCol w:w="1282"/>
        <w:gridCol w:w="1429"/>
        <w:gridCol w:w="1465"/>
        <w:gridCol w:w="1290"/>
        <w:gridCol w:w="1440"/>
        <w:gridCol w:w="1149"/>
        <w:gridCol w:w="1200"/>
        <w:gridCol w:w="1152"/>
        <w:gridCol w:w="1149"/>
        <w:gridCol w:w="1149"/>
        <w:gridCol w:w="1149"/>
        <w:gridCol w:w="1149"/>
      </w:tblGrid>
      <w:tr w:rsidR="00EA75E8" w:rsidRPr="00EA75E8" w:rsidTr="009E76DD">
        <w:trPr>
          <w:trHeight w:val="63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9E76DD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Ремонт автомобильных дорог местного значени</w:t>
            </w:r>
            <w:proofErr w:type="gramStart"/>
            <w:r w:rsidRPr="0050127D">
              <w:rPr>
                <w:sz w:val="18"/>
                <w:szCs w:val="18"/>
              </w:rPr>
              <w:t>я(</w:t>
            </w:r>
            <w:proofErr w:type="gramEnd"/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 дорог поселения (пока</w:t>
            </w:r>
            <w:r>
              <w:rPr>
                <w:sz w:val="18"/>
                <w:szCs w:val="18"/>
              </w:rPr>
              <w:t>затель №3)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9E76DD" w:rsidP="00B445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22 037,97707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194FE5" w:rsidRDefault="00E348AE" w:rsidP="00A74356">
            <w:pPr>
              <w:rPr>
                <w:b/>
                <w:bCs/>
                <w:sz w:val="18"/>
                <w:szCs w:val="18"/>
              </w:rPr>
            </w:pPr>
            <w:r w:rsidRPr="00E348AE">
              <w:rPr>
                <w:b/>
                <w:bCs/>
                <w:sz w:val="18"/>
                <w:szCs w:val="18"/>
              </w:rPr>
              <w:t>3 810,90638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9E76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2 270,48013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1C0A5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331E8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1C0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48A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9E76D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20 158,17507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806FC1" w:rsidRDefault="00E34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C0A56" w:rsidRDefault="009E7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2 270,48013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иные </w:t>
            </w:r>
            <w:r w:rsidRPr="00EA75E8">
              <w:rPr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CE308D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331E83" w:rsidRDefault="000B0C1B" w:rsidP="00A7435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24 587,10953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E348AE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0B0C1B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2 270,48013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0B0C1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0B0C1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247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1C0A56" w:rsidP="00CE308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640C24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C0A56" w:rsidP="00CE30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40C2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="00CE308D"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640C24" w:rsidP="00CE30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20 413,08831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94FE5" w:rsidRDefault="00904DFB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640C24" w:rsidP="00CE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2 270,48013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 w:rsidP="00CE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0C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975,0000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40C2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975,0000</w:t>
            </w:r>
          </w:p>
        </w:tc>
      </w:tr>
      <w:tr w:rsidR="00CE308D" w:rsidRPr="00EA75E8" w:rsidTr="009E76DD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78070D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  <w:r w:rsidR="00BB07E5"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78070D" w:rsidRDefault="00BB07E5" w:rsidP="004D234A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Организация мероприятий по очистке от снега и наледи в зимний период УДС </w:t>
            </w:r>
            <w:r w:rsidR="004D234A" w:rsidRPr="0078070D">
              <w:rPr>
                <w:sz w:val="18"/>
                <w:szCs w:val="18"/>
              </w:rPr>
              <w:t>поселения</w:t>
            </w:r>
            <w:r w:rsidRPr="0078070D">
              <w:rPr>
                <w:sz w:val="18"/>
                <w:szCs w:val="18"/>
              </w:rPr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E6604E" w:rsidP="007F790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B0C1B"/>
    <w:rsid w:val="000D2398"/>
    <w:rsid w:val="000D6786"/>
    <w:rsid w:val="001057A7"/>
    <w:rsid w:val="00186625"/>
    <w:rsid w:val="00194FE5"/>
    <w:rsid w:val="001C0A56"/>
    <w:rsid w:val="002B1D3E"/>
    <w:rsid w:val="002B636D"/>
    <w:rsid w:val="002F1530"/>
    <w:rsid w:val="00306DD9"/>
    <w:rsid w:val="003100E3"/>
    <w:rsid w:val="003233F6"/>
    <w:rsid w:val="00331E83"/>
    <w:rsid w:val="00350029"/>
    <w:rsid w:val="003C2158"/>
    <w:rsid w:val="00401D5C"/>
    <w:rsid w:val="004200BA"/>
    <w:rsid w:val="00475A2F"/>
    <w:rsid w:val="00477AAF"/>
    <w:rsid w:val="004B5208"/>
    <w:rsid w:val="004D07C0"/>
    <w:rsid w:val="004D234A"/>
    <w:rsid w:val="004F1CAA"/>
    <w:rsid w:val="0050127D"/>
    <w:rsid w:val="00527EA8"/>
    <w:rsid w:val="00530911"/>
    <w:rsid w:val="00546228"/>
    <w:rsid w:val="00566692"/>
    <w:rsid w:val="0057631B"/>
    <w:rsid w:val="005D630F"/>
    <w:rsid w:val="00607E36"/>
    <w:rsid w:val="00637217"/>
    <w:rsid w:val="00640C24"/>
    <w:rsid w:val="00746B51"/>
    <w:rsid w:val="007737B4"/>
    <w:rsid w:val="0078070D"/>
    <w:rsid w:val="00786415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352"/>
    <w:rsid w:val="00904DFB"/>
    <w:rsid w:val="00950BA2"/>
    <w:rsid w:val="009574BC"/>
    <w:rsid w:val="009E76DD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C28AF"/>
    <w:rsid w:val="00BC5265"/>
    <w:rsid w:val="00C57657"/>
    <w:rsid w:val="00C637A4"/>
    <w:rsid w:val="00CE308D"/>
    <w:rsid w:val="00CF5817"/>
    <w:rsid w:val="00D61F71"/>
    <w:rsid w:val="00DA033A"/>
    <w:rsid w:val="00DD2937"/>
    <w:rsid w:val="00DE45BE"/>
    <w:rsid w:val="00E14158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D1433"/>
    <w:rsid w:val="00EE6A74"/>
    <w:rsid w:val="00F17C17"/>
    <w:rsid w:val="00F7312C"/>
    <w:rsid w:val="00FA044D"/>
    <w:rsid w:val="00FA18F7"/>
    <w:rsid w:val="00FA2541"/>
    <w:rsid w:val="00FB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3110-862B-43A9-AC10-EFCFFF1E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2023-02-28T09:46:00Z</cp:lastPrinted>
  <dcterms:created xsi:type="dcterms:W3CDTF">2023-03-13T09:47:00Z</dcterms:created>
  <dcterms:modified xsi:type="dcterms:W3CDTF">2023-03-13T09:47:00Z</dcterms:modified>
</cp:coreProperties>
</file>