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A926FC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sz w:val="26"/>
          <w:szCs w:val="20"/>
          <w:lang w:eastAsia="ru-RU"/>
        </w:rPr>
        <w:t xml:space="preserve"> </w:t>
      </w:r>
      <w:bookmarkStart w:id="0" w:name="_GoBack"/>
      <w:bookmarkEnd w:id="0"/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AE7047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января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="004B55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E70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1831A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Куть-Ях</w:t>
      </w:r>
    </w:p>
    <w:p w:rsidR="00AA02E9" w:rsidRDefault="001831A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формате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1831A9" w:rsidRPr="00EF6122" w:rsidRDefault="001831A9" w:rsidP="0018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1831A9" w:rsidRPr="002C31F3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200D2B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1831A9" w:rsidRPr="00200D2B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831A9" w:rsidRPr="00200D2B" w:rsidSect="00EE73B2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Юрьевна                       Бухгалтер</w:t>
      </w: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ООО «Лесопромышленная компания»</w:t>
      </w: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1A9" w:rsidRPr="002C31F3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4F2503" w:rsidRDefault="001831A9" w:rsidP="001831A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F6F8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D3E9E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общественного совета</w:t>
      </w:r>
    </w:p>
    <w:p w:rsidR="001831A9" w:rsidRPr="002C31F3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1831A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2C31F3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1831A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831A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D329DC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7D4B4E" w:rsidRPr="0014458B" w:rsidRDefault="001831A9" w:rsidP="007D4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36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Александровна, Зуб Светлана Владимировна, Никольникова Татьяна Николаевна, Лесникова Татьяна Николаевна, Мяконьких Светлана Якубовна, Маерович Василий Николаевич, Никонова Татьяна Ивановна, Сарапулова Ирина Геннадьевна, Завьялова Нелли Александро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вна, Ершова Галина Владимировна, </w:t>
      </w:r>
      <w:r w:rsidR="007D4B4E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                                                     </w:t>
      </w:r>
      <w:r w:rsidR="007D4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D4B4E"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1831A9" w:rsidRPr="00FD536A" w:rsidRDefault="007D4B4E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Гульнара </w:t>
      </w: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>Хучатулловна</w:t>
      </w:r>
      <w:r w:rsidR="001831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31A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1831A9" w:rsidRPr="00D329DC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1831A9" w:rsidRPr="002C31F3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Колпащиков                                                       - глава сельского поселения Куть-Ях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1831A9" w:rsidRPr="00E80BA5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председатель общественного совета </w:t>
      </w:r>
    </w:p>
    <w:p w:rsidR="001831A9" w:rsidRPr="00E80BA5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Любовь Яковлевна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831A9" w:rsidRPr="0014458B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                                                          - ведущий специалист Администрации </w:t>
      </w:r>
    </w:p>
    <w:p w:rsidR="001831A9" w:rsidRPr="0014458B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Лилия Николаевна                                             поселения</w:t>
      </w:r>
    </w:p>
    <w:p w:rsidR="001831A9" w:rsidRPr="0014458B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1831A9" w:rsidRPr="00B363F5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Гульнара </w:t>
      </w: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Хучатулловна                                   </w:t>
      </w:r>
    </w:p>
    <w:p w:rsidR="00CB13C3" w:rsidRPr="002C31F3" w:rsidRDefault="00CB13C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B13C3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2152AA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2AA" w:rsidRPr="002152AA" w:rsidRDefault="002152AA" w:rsidP="002152AA">
      <w:pPr>
        <w:pStyle w:val="a5"/>
        <w:numPr>
          <w:ilvl w:val="0"/>
          <w:numId w:val="10"/>
        </w:numPr>
        <w:tabs>
          <w:tab w:val="clear" w:pos="5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2AA">
        <w:rPr>
          <w:rFonts w:ascii="Times New Roman" w:hAnsi="Times New Roman"/>
          <w:b/>
          <w:sz w:val="26"/>
          <w:szCs w:val="26"/>
          <w:lang w:eastAsia="ru-RU"/>
        </w:rPr>
        <w:t>Отчет о работе Общественного совета за 2017 год</w:t>
      </w:r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152AA" w:rsidRPr="002152AA" w:rsidRDefault="002152AA" w:rsidP="002152AA">
      <w:p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Тюленева Наталья Алексеевна, председатель Общественного совета Нефтеюганского района</w:t>
      </w:r>
    </w:p>
    <w:p w:rsidR="002152AA" w:rsidRPr="002152AA" w:rsidRDefault="002152AA" w:rsidP="002152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152AA" w:rsidRPr="002152AA" w:rsidRDefault="002152AA" w:rsidP="002152AA">
      <w:pPr>
        <w:numPr>
          <w:ilvl w:val="0"/>
          <w:numId w:val="10"/>
        </w:numPr>
        <w:tabs>
          <w:tab w:val="clear" w:pos="520"/>
          <w:tab w:val="num" w:pos="0"/>
          <w:tab w:val="num" w:pos="851"/>
        </w:tabs>
        <w:spacing w:after="0" w:line="240" w:lineRule="auto"/>
        <w:ind w:left="0" w:firstLine="5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2AA">
        <w:rPr>
          <w:rFonts w:ascii="Times New Roman" w:hAnsi="Times New Roman"/>
          <w:b/>
          <w:sz w:val="26"/>
          <w:szCs w:val="26"/>
          <w:lang w:eastAsia="ru-RU"/>
        </w:rPr>
        <w:t>Об участии общественности в подготовке к предстоящим в марте выборам Президента Российской Федерации.</w:t>
      </w:r>
    </w:p>
    <w:p w:rsidR="002152AA" w:rsidRPr="002152AA" w:rsidRDefault="002152AA" w:rsidP="002152AA">
      <w:pPr>
        <w:tabs>
          <w:tab w:val="num" w:pos="851"/>
        </w:tabs>
        <w:spacing w:after="0" w:line="240" w:lineRule="auto"/>
        <w:ind w:firstLine="5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Леонова Ольга Николаевна, председатель Территориальной избирательной комиссии Нефтеюганского района</w:t>
      </w:r>
    </w:p>
    <w:p w:rsidR="002152AA" w:rsidRPr="002152AA" w:rsidRDefault="002152AA" w:rsidP="002152AA">
      <w:pPr>
        <w:tabs>
          <w:tab w:val="num" w:pos="851"/>
        </w:tabs>
        <w:spacing w:after="0" w:line="240" w:lineRule="auto"/>
        <w:ind w:left="5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2AA" w:rsidRPr="002152AA" w:rsidRDefault="002152AA" w:rsidP="002152AA">
      <w:pPr>
        <w:numPr>
          <w:ilvl w:val="0"/>
          <w:numId w:val="10"/>
        </w:numPr>
        <w:tabs>
          <w:tab w:val="clear" w:pos="520"/>
          <w:tab w:val="num" w:pos="0"/>
          <w:tab w:val="num" w:pos="851"/>
        </w:tabs>
        <w:spacing w:after="0" w:line="240" w:lineRule="auto"/>
        <w:ind w:left="0" w:firstLine="5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обращении Общественного совета Нефтеюганского района к руководителям </w:t>
      </w:r>
      <w:proofErr w:type="gramStart"/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предприятий/учреждений/организаций всех форм собственности</w:t>
      </w:r>
      <w:proofErr w:type="gramEnd"/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призывом проинформировать (довести до сведения) всех своих работников о предстоящих выборах.</w:t>
      </w:r>
    </w:p>
    <w:p w:rsidR="002152AA" w:rsidRPr="002152AA" w:rsidRDefault="002152AA" w:rsidP="002152AA">
      <w:p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Кичигина Тамара Федоровна, член Общественного совета Нефтеюганского района</w:t>
      </w:r>
    </w:p>
    <w:p w:rsidR="002152AA" w:rsidRPr="002152AA" w:rsidRDefault="002152AA" w:rsidP="002152AA">
      <w:p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152AA" w:rsidRPr="002152AA" w:rsidRDefault="002152AA" w:rsidP="002152AA">
      <w:pPr>
        <w:numPr>
          <w:ilvl w:val="0"/>
          <w:numId w:val="10"/>
        </w:numPr>
        <w:tabs>
          <w:tab w:val="clear" w:pos="520"/>
          <w:tab w:val="num" w:pos="0"/>
          <w:tab w:val="num" w:pos="851"/>
        </w:tabs>
        <w:spacing w:after="0" w:line="240" w:lineRule="auto"/>
        <w:ind w:left="0" w:firstLine="5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участии членов Общественного совета Нефтеюганского района и активных граждан поселений района в качестве общественных наблюдателей за ходом выборов Президента Российской Федерации на избирательных участках Нефтеюганского района в рамках общественного мониторинга соблюдения избирательных прав граждан.</w:t>
      </w:r>
    </w:p>
    <w:p w:rsidR="002152AA" w:rsidRPr="002152AA" w:rsidRDefault="002152AA" w:rsidP="002152AA">
      <w:p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Докладчик: </w:t>
      </w:r>
      <w:proofErr w:type="spellStart"/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Корчменная</w:t>
      </w:r>
      <w:proofErr w:type="spellEnd"/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Лариса Георгиевна, секретарь Общественного совета Нефтеюганского района</w:t>
      </w:r>
    </w:p>
    <w:p w:rsidR="002152AA" w:rsidRPr="002152AA" w:rsidRDefault="002152AA" w:rsidP="002152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2152AA" w:rsidRPr="002152AA" w:rsidRDefault="002152AA" w:rsidP="002152AA">
      <w:pPr>
        <w:pStyle w:val="a5"/>
        <w:numPr>
          <w:ilvl w:val="0"/>
          <w:numId w:val="10"/>
        </w:numPr>
        <w:tabs>
          <w:tab w:val="clear" w:pos="520"/>
          <w:tab w:val="num" w:pos="0"/>
        </w:tabs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152AA">
        <w:rPr>
          <w:rFonts w:ascii="Times New Roman" w:hAnsi="Times New Roman"/>
          <w:b/>
          <w:bCs/>
          <w:iCs/>
          <w:sz w:val="26"/>
          <w:szCs w:val="26"/>
        </w:rPr>
        <w:t>О состоянии работы с обращениями граждан в администрации  Нефтеюганского района, в городском и сельских поселениях района за 2017 год и о результатах проведения пятого общероссийского дня приема граждан 12 декабря 2017 года</w:t>
      </w:r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2152AA" w:rsidRPr="002152AA" w:rsidRDefault="002152AA" w:rsidP="002152AA">
      <w:pPr>
        <w:pStyle w:val="a5"/>
        <w:tabs>
          <w:tab w:val="num" w:pos="851"/>
        </w:tabs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Докладчик: </w:t>
      </w:r>
      <w:proofErr w:type="spellStart"/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Цыброва</w:t>
      </w:r>
      <w:proofErr w:type="spellEnd"/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Наталья Михайловна, специалист-эксперт управления по вопросам местного самоуправления и обращениям граждан администрации Нефтеюганского района</w:t>
      </w:r>
    </w:p>
    <w:p w:rsidR="002152AA" w:rsidRPr="002152AA" w:rsidRDefault="002152AA" w:rsidP="002152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152AA" w:rsidRPr="002152AA" w:rsidRDefault="002152AA" w:rsidP="002152AA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0" w:firstLine="5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по вопросам правоприменительной практики по результатам рассмотрения вступивших в законную силу решений судов о признании </w:t>
      </w:r>
      <w:proofErr w:type="gramStart"/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недействительными</w:t>
      </w:r>
      <w:proofErr w:type="gramEnd"/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ненормативных правовых актов, незаконными решений (действий, бездействия) органов местного самоуправления Нефтеюганского района.</w:t>
      </w:r>
    </w:p>
    <w:p w:rsidR="002152AA" w:rsidRPr="002152AA" w:rsidRDefault="002152AA" w:rsidP="002152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Докладчик: </w:t>
      </w:r>
      <w:proofErr w:type="spellStart"/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Малькова</w:t>
      </w:r>
      <w:proofErr w:type="spellEnd"/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Людмила Васильевна, главный специалист юридического комитета администрации Нефтеюганского района </w:t>
      </w:r>
    </w:p>
    <w:p w:rsidR="002152AA" w:rsidRPr="002152AA" w:rsidRDefault="002152AA" w:rsidP="002152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152AA" w:rsidRPr="002152AA" w:rsidRDefault="002152AA" w:rsidP="002152A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Разное.</w:t>
      </w:r>
    </w:p>
    <w:p w:rsidR="00CA62AE" w:rsidRPr="0081380B" w:rsidRDefault="00CA62AE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901D32" w:rsidRPr="00901D32" w:rsidRDefault="00901D32" w:rsidP="00901D3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1D32">
        <w:rPr>
          <w:rFonts w:ascii="Times New Roman" w:hAnsi="Times New Roman"/>
          <w:b/>
          <w:sz w:val="26"/>
          <w:szCs w:val="26"/>
          <w:lang w:eastAsia="ru-RU"/>
        </w:rPr>
        <w:t>Отчет о работе Общественного совета за 2017 год</w:t>
      </w:r>
      <w:r w:rsidRPr="00901D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01D32" w:rsidRPr="00901D32" w:rsidRDefault="00901D32" w:rsidP="00901D32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01D32">
        <w:rPr>
          <w:rFonts w:ascii="Times New Roman" w:eastAsia="Times New Roman" w:hAnsi="Times New Roman" w:cs="Times New Roman"/>
          <w:sz w:val="26"/>
          <w:szCs w:val="26"/>
          <w:lang w:eastAsia="ru-RU"/>
        </w:rPr>
        <w:t>(Тюленева Наталья Алексеевна, информация прилагается)</w:t>
      </w:r>
    </w:p>
    <w:p w:rsidR="00C23929" w:rsidRPr="002C31F3" w:rsidRDefault="00C23929" w:rsidP="00C2392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8420E1" w:rsidRDefault="00C23929" w:rsidP="00C2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84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1D32" w:rsidRPr="00901D32" w:rsidRDefault="00901D32" w:rsidP="00901D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1D32">
        <w:rPr>
          <w:rFonts w:ascii="Times New Roman" w:hAnsi="Times New Roman" w:cs="Times New Roman"/>
          <w:sz w:val="26"/>
          <w:szCs w:val="26"/>
        </w:rPr>
        <w:t>Принять информацию о работе Общественного совета Нефтеюганского района за 2017 год к сведению.</w:t>
      </w:r>
    </w:p>
    <w:p w:rsidR="00901D32" w:rsidRPr="00901D32" w:rsidRDefault="00901D32" w:rsidP="00901D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1D32">
        <w:rPr>
          <w:rFonts w:ascii="Times New Roman" w:hAnsi="Times New Roman" w:cs="Times New Roman"/>
          <w:sz w:val="26"/>
          <w:szCs w:val="26"/>
        </w:rPr>
        <w:lastRenderedPageBreak/>
        <w:t>1.2. Продолжить работу Общественного совета Нефтеюганского района по совершенствованию механизмов вовлечения граждан в деятельность общественных советов, путем проведения совместных мероприятий поселенческого и межпоселкового масштаба.</w:t>
      </w:r>
    </w:p>
    <w:p w:rsidR="00901D32" w:rsidRPr="00901D32" w:rsidRDefault="00901D32" w:rsidP="00901D3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Рекомендовать председателям общественных советов поселений в срок до 1 марта 2018 года направить в адрес председателя Общественного совета Нефтеюганского района Тюленевой </w:t>
      </w:r>
      <w:proofErr w:type="spellStart"/>
      <w:r w:rsidRPr="00901D32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proofErr w:type="spellEnd"/>
      <w:r w:rsidRPr="00901D32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отчеты о работе общественных советов поселений района.</w:t>
      </w:r>
    </w:p>
    <w:p w:rsidR="001E3313" w:rsidRPr="002C31F3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14581B" w:rsidRDefault="00C23929" w:rsidP="00C239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</w:p>
    <w:p w:rsidR="00EA661F" w:rsidRPr="00EA661F" w:rsidRDefault="00EA661F" w:rsidP="00EA661F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A661F">
        <w:rPr>
          <w:rFonts w:ascii="Times New Roman" w:hAnsi="Times New Roman" w:cs="Times New Roman"/>
          <w:b/>
          <w:sz w:val="26"/>
          <w:szCs w:val="26"/>
          <w:lang w:eastAsia="ru-RU"/>
        </w:rPr>
        <w:t>Об участии общественности в подготовке к предстоящим в марте выборам Президента Российской Федерации.</w:t>
      </w:r>
    </w:p>
    <w:p w:rsidR="00EA661F" w:rsidRPr="00EA661F" w:rsidRDefault="00EA661F" w:rsidP="00EA661F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61F">
        <w:rPr>
          <w:rFonts w:ascii="Times New Roman" w:eastAsia="Times New Roman" w:hAnsi="Times New Roman" w:cs="Times New Roman"/>
          <w:sz w:val="26"/>
          <w:szCs w:val="26"/>
          <w:lang w:eastAsia="ru-RU"/>
        </w:rPr>
        <w:t>(Леонова Ольга Николаевна, информация прилагается)</w:t>
      </w:r>
    </w:p>
    <w:p w:rsidR="00891DB9" w:rsidRDefault="000E616C" w:rsidP="000E61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A661F" w:rsidRDefault="000E616C" w:rsidP="00EA66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661F" w:rsidRPr="00EA661F" w:rsidRDefault="00EA661F" w:rsidP="00EA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61F">
        <w:rPr>
          <w:rFonts w:ascii="Times New Roman" w:eastAsia="Calibri" w:hAnsi="Times New Roman" w:cs="Times New Roman"/>
          <w:sz w:val="26"/>
          <w:szCs w:val="26"/>
          <w:lang w:eastAsia="ru-RU"/>
        </w:rPr>
        <w:t>2.1.</w:t>
      </w:r>
      <w:r w:rsidRPr="00EA661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Принять информацию к сведению.</w:t>
      </w:r>
    </w:p>
    <w:p w:rsidR="00EA661F" w:rsidRPr="00EA661F" w:rsidRDefault="00EA661F" w:rsidP="00EA66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61F">
        <w:rPr>
          <w:rFonts w:ascii="Times New Roman" w:hAnsi="Times New Roman" w:cs="Times New Roman"/>
          <w:bCs/>
          <w:color w:val="000000"/>
          <w:sz w:val="26"/>
          <w:szCs w:val="26"/>
        </w:rPr>
        <w:t>2.2</w:t>
      </w:r>
      <w:r w:rsidRPr="00EA661F">
        <w:rPr>
          <w:rFonts w:ascii="Times New Roman" w:hAnsi="Times New Roman" w:cs="Times New Roman"/>
          <w:bCs/>
          <w:color w:val="000000"/>
          <w:sz w:val="26"/>
          <w:szCs w:val="26"/>
        </w:rPr>
        <w:tab/>
        <w:t>Членам Общественного совета активно включиться в работу по оказанию содействия органам местного самоуправления в подготовке и проведении выборов.</w:t>
      </w:r>
    </w:p>
    <w:p w:rsidR="00DF1EBB" w:rsidRPr="002C31F3" w:rsidRDefault="00DF1EBB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5E1C0A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2A332C" w:rsidRPr="002A332C" w:rsidRDefault="002A332C" w:rsidP="002A332C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A3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обращении Общественного совета Нефтеюганского района к руководителям </w:t>
      </w:r>
      <w:proofErr w:type="gramStart"/>
      <w:r w:rsidRPr="002A3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предприятий/учреждений/организаций всех форм собственности</w:t>
      </w:r>
      <w:proofErr w:type="gramEnd"/>
      <w:r w:rsidRPr="002A3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призывом проинформировать (довести до сведения) всех своих работников о предстоящих выборах.</w:t>
      </w:r>
    </w:p>
    <w:p w:rsidR="002A332C" w:rsidRPr="002A332C" w:rsidRDefault="002A332C" w:rsidP="002A332C">
      <w:pPr>
        <w:pStyle w:val="a5"/>
        <w:tabs>
          <w:tab w:val="left" w:pos="851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33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33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(Кичигина Тамара Федоровна, информация прилагается)</w:t>
      </w:r>
    </w:p>
    <w:p w:rsidR="002B51E3" w:rsidRDefault="002B51E3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E76AFC" w:rsidRPr="008D64CF" w:rsidRDefault="00E76AFC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3. РЕШИЛИ:</w:t>
      </w:r>
    </w:p>
    <w:p w:rsidR="002A332C" w:rsidRPr="002A332C" w:rsidRDefault="002A332C" w:rsidP="002A33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32C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2A332C">
        <w:rPr>
          <w:rFonts w:ascii="Times New Roman" w:hAnsi="Times New Roman" w:cs="Times New Roman"/>
          <w:sz w:val="26"/>
          <w:szCs w:val="26"/>
        </w:rPr>
        <w:t xml:space="preserve"> Одобрить текст обращения к руководителям предприятий и организаций всех форм собственности с призывом проинформировать всех своих работников о предстоящих выборах в следующем варианте:</w:t>
      </w:r>
    </w:p>
    <w:p w:rsidR="002A332C" w:rsidRPr="002A332C" w:rsidRDefault="002A332C" w:rsidP="002A332C">
      <w:pPr>
        <w:pStyle w:val="a6"/>
        <w:rPr>
          <w:rFonts w:ascii="Times New Roman" w:hAnsi="Times New Roman" w:cs="Times New Roman"/>
          <w:b/>
          <w:i/>
          <w:sz w:val="26"/>
          <w:szCs w:val="26"/>
        </w:rPr>
      </w:pPr>
      <w:r w:rsidRPr="002A332C">
        <w:rPr>
          <w:rFonts w:ascii="Times New Roman" w:hAnsi="Times New Roman" w:cs="Times New Roman"/>
          <w:b/>
          <w:i/>
          <w:sz w:val="26"/>
          <w:szCs w:val="26"/>
        </w:rPr>
        <w:t>«Уважаемые земляки!</w:t>
      </w:r>
    </w:p>
    <w:p w:rsidR="002A332C" w:rsidRPr="002A332C" w:rsidRDefault="002A332C" w:rsidP="002A332C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A332C">
        <w:rPr>
          <w:rFonts w:ascii="Times New Roman" w:hAnsi="Times New Roman" w:cs="Times New Roman"/>
          <w:b/>
          <w:i/>
          <w:sz w:val="26"/>
          <w:szCs w:val="26"/>
        </w:rPr>
        <w:t>18 марта состоится выборы Президента Российской Федерации – главные выборы страны.</w:t>
      </w:r>
      <w:r w:rsidR="008572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A332C">
        <w:rPr>
          <w:rFonts w:ascii="Times New Roman" w:hAnsi="Times New Roman" w:cs="Times New Roman"/>
          <w:b/>
          <w:i/>
          <w:sz w:val="26"/>
          <w:szCs w:val="26"/>
        </w:rPr>
        <w:t xml:space="preserve">Участие в выборах лидера государства – это возможность продемонстрировать наше единство и веру в великое будущее России, готовность  вместе преодолевать трудности и побеждать. Выборы Президента России наглядно продемонстрируют, насколько мы едины и сильны. Именно поэтому мы призываем всех избирателей Нефтеюганского района: не оставайтесь в стороне! </w:t>
      </w:r>
    </w:p>
    <w:p w:rsidR="002A332C" w:rsidRPr="002A332C" w:rsidRDefault="002A332C" w:rsidP="002A332C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A332C">
        <w:rPr>
          <w:rFonts w:ascii="Times New Roman" w:hAnsi="Times New Roman" w:cs="Times New Roman"/>
          <w:b/>
          <w:i/>
          <w:sz w:val="26"/>
          <w:szCs w:val="26"/>
        </w:rPr>
        <w:t xml:space="preserve">На этих выборах будут изменения в порядке голосования. Очень важно, чтобы каждый житель знал о них. Мы обращаемся ко всем жителям – будьте внимательны к информации, исходящей от избирательных комиссий. Мы обращаемся к руководителям предприятий, учреждений и организаций всех форм собственности с просьбой оказать помощь в информировании своих коллективов. Просим помочь довести до каждого сотрудника информацию о правилах голосования и местонахождении избирательных участков. </w:t>
      </w:r>
    </w:p>
    <w:p w:rsidR="002A332C" w:rsidRPr="002A332C" w:rsidRDefault="002A332C" w:rsidP="002A332C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A332C">
        <w:rPr>
          <w:rFonts w:ascii="Times New Roman" w:hAnsi="Times New Roman" w:cs="Times New Roman"/>
          <w:b/>
          <w:i/>
          <w:sz w:val="26"/>
          <w:szCs w:val="26"/>
        </w:rPr>
        <w:t>Это важно! 18 марта – день нашего единства!»</w:t>
      </w:r>
    </w:p>
    <w:p w:rsidR="002A332C" w:rsidRPr="002A332C" w:rsidRDefault="002A332C" w:rsidP="002A33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332C" w:rsidRDefault="002A332C" w:rsidP="002A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32C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Распространить данное обращение через средства массовой информации, а также иными доступными способами в поселениях Нефтеюганского района.</w:t>
      </w:r>
    </w:p>
    <w:p w:rsidR="002A332C" w:rsidRDefault="002A332C" w:rsidP="002A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32C" w:rsidRPr="005E1C0A" w:rsidRDefault="002A332C" w:rsidP="002A33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2A332C" w:rsidRPr="002A332C" w:rsidRDefault="002A332C" w:rsidP="002A332C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A3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участии членов Общественного совета Нефтеюганского района и активных граждан поселений района в качестве общественных наблюдателей за </w:t>
      </w:r>
      <w:r w:rsidRPr="002A3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ходом выборов Президента Российской Федерации на избирательных участках Нефтеюганского района в рамках общественного мониторинга соблюдения избирательных прав граждан.</w:t>
      </w:r>
    </w:p>
    <w:p w:rsidR="002A332C" w:rsidRPr="002A332C" w:rsidRDefault="002A332C" w:rsidP="002A332C">
      <w:pPr>
        <w:pStyle w:val="a5"/>
        <w:tabs>
          <w:tab w:val="left" w:pos="851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33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2A33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Корчменная</w:t>
      </w:r>
      <w:proofErr w:type="spellEnd"/>
      <w:r w:rsidRPr="002A3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Лариса Георгиевна, информация прилагается)</w:t>
      </w:r>
    </w:p>
    <w:p w:rsidR="002A332C" w:rsidRDefault="002A332C" w:rsidP="002A332C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2A332C" w:rsidRPr="008D64CF" w:rsidRDefault="002A332C" w:rsidP="002A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520A18" w:rsidRPr="00520A18" w:rsidRDefault="00520A18" w:rsidP="00520A18">
      <w:pPr>
        <w:tabs>
          <w:tab w:val="num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4.1.Оказать</w:t>
      </w:r>
      <w:proofErr w:type="spellEnd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содействие Обществен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палате Югры подобрать через </w:t>
      </w: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советы поселений кандидатов в общественные наблюдатели.</w:t>
      </w:r>
    </w:p>
    <w:p w:rsidR="00520A18" w:rsidRPr="00520A18" w:rsidRDefault="00520A18" w:rsidP="00520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– 4 чел. на один избирательный участок: </w:t>
      </w:r>
    </w:p>
    <w:p w:rsidR="00520A18" w:rsidRPr="00520A18" w:rsidRDefault="00520A18" w:rsidP="00520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 кандидата для назначения от Общественной палаты России;</w:t>
      </w:r>
    </w:p>
    <w:p w:rsidR="00520A18" w:rsidRPr="00520A18" w:rsidRDefault="00520A18" w:rsidP="00520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 кандидата для назначения от Общественной палаты Югры.</w:t>
      </w:r>
    </w:p>
    <w:p w:rsidR="00520A18" w:rsidRPr="00520A18" w:rsidRDefault="00520A18" w:rsidP="00520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исполнения: до 10 февраля 2018 года.</w:t>
      </w:r>
    </w:p>
    <w:p w:rsidR="002A332C" w:rsidRDefault="002A332C" w:rsidP="002A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A18" w:rsidRPr="00520A18" w:rsidRDefault="00520A18" w:rsidP="00520A18">
      <w:pPr>
        <w:pStyle w:val="a5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520A18" w:rsidRPr="00520A18" w:rsidRDefault="00520A18" w:rsidP="00520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состоянии работы с обращениями граждан в администрации  Нефтеюганского района, в городском и сельских поселениях района за 2017 год и о результатах </w:t>
      </w:r>
      <w:proofErr w:type="spellStart"/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проведе-ния</w:t>
      </w:r>
      <w:proofErr w:type="spellEnd"/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пятого общероссийского дня приема граждан 12 декабря 2017 года.</w:t>
      </w:r>
      <w:proofErr w:type="gramEnd"/>
    </w:p>
    <w:p w:rsidR="00520A18" w:rsidRPr="00520A18" w:rsidRDefault="00520A18" w:rsidP="00520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Цыброва</w:t>
      </w:r>
      <w:proofErr w:type="spellEnd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Михайловна, информация прилагается)</w:t>
      </w:r>
    </w:p>
    <w:p w:rsidR="00520A18" w:rsidRDefault="00520A18" w:rsidP="00520A18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520A18" w:rsidRPr="008D64CF" w:rsidRDefault="00520A18" w:rsidP="0052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520A18" w:rsidRPr="00520A18" w:rsidRDefault="00520A18" w:rsidP="00520A18">
      <w:pPr>
        <w:tabs>
          <w:tab w:val="num" w:pos="0"/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5.1.Принять</w:t>
      </w:r>
      <w:proofErr w:type="spellEnd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к сведению.</w:t>
      </w:r>
    </w:p>
    <w:p w:rsidR="00520A18" w:rsidRPr="00520A18" w:rsidRDefault="00520A18" w:rsidP="00520A18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5.2.Применять</w:t>
      </w:r>
      <w:proofErr w:type="spellEnd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сведения в своей работе с обращениями граждан, при необходимости обращаться за информацией к специалистам по работе с обращениями граждан управления по вопросам местного самоуправления и обращениям граждан администрации Нефтеюганского района. </w:t>
      </w:r>
    </w:p>
    <w:p w:rsidR="00520A18" w:rsidRDefault="00520A18" w:rsidP="00520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исполнения: до 10 февраля 2018 года.</w:t>
      </w:r>
    </w:p>
    <w:p w:rsidR="00520A18" w:rsidRDefault="00520A18" w:rsidP="00520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A18" w:rsidRPr="00520A18" w:rsidRDefault="00520A18" w:rsidP="00520A18">
      <w:pPr>
        <w:pStyle w:val="a5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520A18" w:rsidRPr="00520A18" w:rsidRDefault="00520A18" w:rsidP="00520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20A18">
        <w:rPr>
          <w:rFonts w:ascii="Times New Roman" w:hAnsi="Times New Roman" w:cs="Times New Roman"/>
          <w:b/>
          <w:sz w:val="26"/>
          <w:szCs w:val="26"/>
        </w:rPr>
        <w:t xml:space="preserve">О рассмотрении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520A18">
        <w:rPr>
          <w:rFonts w:ascii="Times New Roman" w:hAnsi="Times New Roman" w:cs="Times New Roman"/>
          <w:b/>
          <w:sz w:val="26"/>
          <w:szCs w:val="26"/>
        </w:rPr>
        <w:t>недействительными</w:t>
      </w:r>
      <w:proofErr w:type="gramEnd"/>
      <w:r w:rsidRPr="00520A18">
        <w:rPr>
          <w:rFonts w:ascii="Times New Roman" w:hAnsi="Times New Roman" w:cs="Times New Roman"/>
          <w:b/>
          <w:sz w:val="26"/>
          <w:szCs w:val="26"/>
        </w:rPr>
        <w:t xml:space="preserve"> ненормативных правовых актов, незаконными решений и действий (бездействия) должностных лиц органов местного самоуправления муниципального  образования».</w:t>
      </w:r>
    </w:p>
    <w:p w:rsidR="00520A18" w:rsidRPr="00520A18" w:rsidRDefault="00520A18" w:rsidP="00520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Малькова</w:t>
      </w:r>
      <w:proofErr w:type="spellEnd"/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Васильевна, информация прилагается)</w:t>
      </w:r>
    </w:p>
    <w:p w:rsidR="00520A18" w:rsidRDefault="00520A18" w:rsidP="0052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</w:p>
    <w:p w:rsidR="00520A18" w:rsidRPr="008D64CF" w:rsidRDefault="00520A18" w:rsidP="00520A1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520A18" w:rsidRPr="00520A18" w:rsidRDefault="00520A18" w:rsidP="00520A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Pr="00520A18">
        <w:rPr>
          <w:rFonts w:ascii="Times New Roman" w:hAnsi="Times New Roman" w:cs="Times New Roman"/>
          <w:sz w:val="26"/>
          <w:szCs w:val="26"/>
        </w:rPr>
        <w:t>Информацию о рассмотрении правоприменительной практики за 4 квартал  2017 года по  результатам  вступивших  в 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 принять к сведению.</w:t>
      </w:r>
    </w:p>
    <w:p w:rsidR="00CE3F40" w:rsidRPr="002C31F3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57221" w:rsidRPr="002C31F3" w:rsidRDefault="00857221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08F3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">
    <w:nsid w:val="198B246F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B70"/>
    <w:multiLevelType w:val="hybridMultilevel"/>
    <w:tmpl w:val="0E6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0932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006C9D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42C6E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3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E616C"/>
    <w:rsid w:val="000E6331"/>
    <w:rsid w:val="000F79C0"/>
    <w:rsid w:val="000F7C02"/>
    <w:rsid w:val="0014458B"/>
    <w:rsid w:val="0014581B"/>
    <w:rsid w:val="001831A9"/>
    <w:rsid w:val="001B1951"/>
    <w:rsid w:val="001D1F6B"/>
    <w:rsid w:val="001D55AF"/>
    <w:rsid w:val="001D5F1C"/>
    <w:rsid w:val="001E3313"/>
    <w:rsid w:val="001E3685"/>
    <w:rsid w:val="001F1F2C"/>
    <w:rsid w:val="00200D2B"/>
    <w:rsid w:val="00211CE5"/>
    <w:rsid w:val="002152AA"/>
    <w:rsid w:val="00234EA3"/>
    <w:rsid w:val="00253890"/>
    <w:rsid w:val="00255B42"/>
    <w:rsid w:val="00280373"/>
    <w:rsid w:val="00280E51"/>
    <w:rsid w:val="002A332C"/>
    <w:rsid w:val="002B51E3"/>
    <w:rsid w:val="002C247F"/>
    <w:rsid w:val="002C31F3"/>
    <w:rsid w:val="002C7848"/>
    <w:rsid w:val="002E2051"/>
    <w:rsid w:val="00383F0E"/>
    <w:rsid w:val="00385B58"/>
    <w:rsid w:val="004130C9"/>
    <w:rsid w:val="00453546"/>
    <w:rsid w:val="00473CBF"/>
    <w:rsid w:val="004913DC"/>
    <w:rsid w:val="004B2728"/>
    <w:rsid w:val="004B5586"/>
    <w:rsid w:val="004D448E"/>
    <w:rsid w:val="004E06BA"/>
    <w:rsid w:val="004F2503"/>
    <w:rsid w:val="00501204"/>
    <w:rsid w:val="00520A18"/>
    <w:rsid w:val="00521EF7"/>
    <w:rsid w:val="005247E6"/>
    <w:rsid w:val="0053110B"/>
    <w:rsid w:val="00543439"/>
    <w:rsid w:val="005572B9"/>
    <w:rsid w:val="00594428"/>
    <w:rsid w:val="005E1C0A"/>
    <w:rsid w:val="00611B04"/>
    <w:rsid w:val="00637DFD"/>
    <w:rsid w:val="00641E57"/>
    <w:rsid w:val="00660127"/>
    <w:rsid w:val="00691135"/>
    <w:rsid w:val="00705D1D"/>
    <w:rsid w:val="00706136"/>
    <w:rsid w:val="00736A4F"/>
    <w:rsid w:val="00774B34"/>
    <w:rsid w:val="00794EA2"/>
    <w:rsid w:val="007D1E94"/>
    <w:rsid w:val="007D3E9E"/>
    <w:rsid w:val="007D4B4E"/>
    <w:rsid w:val="007F6F84"/>
    <w:rsid w:val="0081380B"/>
    <w:rsid w:val="008271B4"/>
    <w:rsid w:val="00836293"/>
    <w:rsid w:val="008420E1"/>
    <w:rsid w:val="00857221"/>
    <w:rsid w:val="00891DB9"/>
    <w:rsid w:val="0089305E"/>
    <w:rsid w:val="008B3F12"/>
    <w:rsid w:val="008D64CF"/>
    <w:rsid w:val="008E4AFE"/>
    <w:rsid w:val="008F3390"/>
    <w:rsid w:val="009006F4"/>
    <w:rsid w:val="00901D32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926FC"/>
    <w:rsid w:val="00AA02E9"/>
    <w:rsid w:val="00AD21AC"/>
    <w:rsid w:val="00AE7047"/>
    <w:rsid w:val="00B363F5"/>
    <w:rsid w:val="00B702D2"/>
    <w:rsid w:val="00B90BB3"/>
    <w:rsid w:val="00BC295C"/>
    <w:rsid w:val="00C23929"/>
    <w:rsid w:val="00C433CE"/>
    <w:rsid w:val="00C45D76"/>
    <w:rsid w:val="00C92375"/>
    <w:rsid w:val="00CA62AE"/>
    <w:rsid w:val="00CB13C3"/>
    <w:rsid w:val="00CC55D5"/>
    <w:rsid w:val="00CE3F40"/>
    <w:rsid w:val="00CE439A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A661F"/>
    <w:rsid w:val="00EC4823"/>
    <w:rsid w:val="00EF34CC"/>
    <w:rsid w:val="00EF6122"/>
    <w:rsid w:val="00F04F63"/>
    <w:rsid w:val="00F6197C"/>
    <w:rsid w:val="00F777F8"/>
    <w:rsid w:val="00FA53DF"/>
    <w:rsid w:val="00FD2027"/>
    <w:rsid w:val="00FD536A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No Spacing"/>
    <w:uiPriority w:val="1"/>
    <w:qFormat/>
    <w:rsid w:val="002A3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No Spacing"/>
    <w:uiPriority w:val="1"/>
    <w:qFormat/>
    <w:rsid w:val="002A3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2018-05-21T07:59:00Z</cp:lastPrinted>
  <dcterms:created xsi:type="dcterms:W3CDTF">2015-09-21T07:13:00Z</dcterms:created>
  <dcterms:modified xsi:type="dcterms:W3CDTF">2018-05-21T08:49:00Z</dcterms:modified>
</cp:coreProperties>
</file>